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keepNext w:val="0"/>
        <w:keepLines w:val="0"/>
        <w:spacing w:before="480" w:line="240" w:lineRule="auto"/>
        <w:ind w:left="0" w:firstLine="0"/>
        <w:contextualSpacing w:val="0"/>
        <w:jc w:val="both"/>
        <w:rPr>
          <w:rFonts w:ascii="Lora" w:cs="Lora" w:eastAsia="Lora" w:hAnsi="Lora"/>
          <w:b w:val="1"/>
          <w:sz w:val="46"/>
          <w:szCs w:val="46"/>
          <w:highlight w:val="white"/>
        </w:rPr>
      </w:pPr>
      <w:bookmarkStart w:colFirst="0" w:colLast="0" w:name="_7p45kux8bttv" w:id="0"/>
      <w:bookmarkEnd w:id="0"/>
      <w:r w:rsidDel="00000000" w:rsidR="00000000" w:rsidRPr="00000000">
        <w:rPr>
          <w:rFonts w:ascii="Lora" w:cs="Lora" w:eastAsia="Lora" w:hAnsi="Lora"/>
          <w:b w:val="1"/>
          <w:sz w:val="46"/>
          <w:szCs w:val="46"/>
          <w:highlight w:val="white"/>
          <w:rtl w:val="0"/>
        </w:rPr>
        <w:t xml:space="preserve">Lesson Observation Form - NQT Induction</w:t>
      </w:r>
    </w:p>
    <w:p w:rsidR="00000000" w:rsidDel="00000000" w:rsidP="00000000" w:rsidRDefault="00000000" w:rsidRPr="00000000" w14:paraId="00000001">
      <w:pPr>
        <w:spacing w:line="240" w:lineRule="auto"/>
        <w:ind w:left="1170" w:firstLine="270"/>
        <w:contextualSpacing w:val="0"/>
        <w:jc w:val="both"/>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Focussed on teachers’ standards observed during a lesson</w:t>
      </w:r>
    </w:p>
    <w:p w:rsidR="00000000" w:rsidDel="00000000" w:rsidP="00000000" w:rsidRDefault="00000000" w:rsidRPr="00000000" w14:paraId="00000002">
      <w:pPr>
        <w:spacing w:line="240" w:lineRule="auto"/>
        <w:ind w:left="1170" w:firstLine="270"/>
        <w:contextualSpacing w:val="0"/>
        <w:jc w:val="both"/>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03">
      <w:pPr>
        <w:spacing w:line="240" w:lineRule="auto"/>
        <w:ind w:left="1170" w:firstLine="270"/>
        <w:contextualSpacing w:val="0"/>
        <w:jc w:val="both"/>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04">
      <w:pPr>
        <w:spacing w:line="240" w:lineRule="auto"/>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bl>
      <w:tblPr>
        <w:tblStyle w:val="Table1"/>
        <w:tblW w:w="93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95"/>
        <w:gridCol w:w="4695"/>
        <w:tblGridChange w:id="0">
          <w:tblGrid>
            <w:gridCol w:w="4695"/>
            <w:gridCol w:w="469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ind w:left="0" w:firstLine="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NQT: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ind w:left="0" w:firstLine="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Observer:</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ind w:left="0" w:firstLine="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ind w:left="0" w:firstLine="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Date &amp; Duration:</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ind w:left="0" w:firstLine="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Subject: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ind w:left="0" w:firstLine="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Focus Targets:</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ind w:left="0" w:firstLine="0"/>
              <w:contextualSpacing w:val="0"/>
              <w:rPr>
                <w:rFonts w:ascii="Lora" w:cs="Lora" w:eastAsia="Lora" w:hAnsi="Lora"/>
                <w:b w:val="1"/>
                <w:sz w:val="16"/>
                <w:szCs w:val="16"/>
                <w:highlight w:val="white"/>
              </w:rPr>
            </w:pPr>
            <w:r w:rsidDel="00000000" w:rsidR="00000000" w:rsidRPr="00000000">
              <w:rPr>
                <w:rFonts w:ascii="Lora" w:cs="Lora" w:eastAsia="Lora" w:hAnsi="Lora"/>
                <w:b w:val="1"/>
                <w:sz w:val="20"/>
                <w:szCs w:val="20"/>
                <w:highlight w:val="white"/>
                <w:rtl w:val="0"/>
              </w:rPr>
              <w:t xml:space="preserve">Class/Year Group</w:t>
            </w:r>
            <w:r w:rsidDel="00000000" w:rsidR="00000000" w:rsidRPr="00000000">
              <w:rPr>
                <w:rFonts w:ascii="Lora" w:cs="Lora" w:eastAsia="Lora" w:hAnsi="Lora"/>
                <w:b w:val="1"/>
                <w:sz w:val="16"/>
                <w:szCs w:val="16"/>
                <w:highlight w:val="white"/>
                <w:rtl w:val="0"/>
              </w:rPr>
              <w:t xml:space="preserve"> (incl. number of pupils)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c>
      </w:tr>
    </w:tbl>
    <w:p w:rsidR="00000000" w:rsidDel="00000000" w:rsidP="00000000" w:rsidRDefault="00000000" w:rsidRPr="00000000" w14:paraId="0000000D">
      <w:pPr>
        <w:spacing w:line="240" w:lineRule="auto"/>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bl>
      <w:tblPr>
        <w:tblStyle w:val="Table2"/>
        <w:tblW w:w="93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90"/>
        <w:tblGridChange w:id="0">
          <w:tblGrid>
            <w:gridCol w:w="9390"/>
          </w:tblGrid>
        </w:tblGridChange>
      </w:tblGrid>
      <w:tr>
        <w:trPr>
          <w:trHeight w:val="19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ind w:left="0" w:firstLine="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Lesson Context:</w:t>
            </w:r>
          </w:p>
          <w:p w:rsidR="00000000" w:rsidDel="00000000" w:rsidP="00000000" w:rsidRDefault="00000000" w:rsidRPr="00000000" w14:paraId="0000000F">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p w:rsidR="00000000" w:rsidDel="00000000" w:rsidP="00000000" w:rsidRDefault="00000000" w:rsidRPr="00000000" w14:paraId="00000010">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p w:rsidR="00000000" w:rsidDel="00000000" w:rsidP="00000000" w:rsidRDefault="00000000" w:rsidRPr="00000000" w14:paraId="00000011">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c>
      </w:tr>
    </w:tbl>
    <w:p w:rsidR="00000000" w:rsidDel="00000000" w:rsidP="00000000" w:rsidRDefault="00000000" w:rsidRPr="00000000" w14:paraId="00000012">
      <w:pPr>
        <w:spacing w:line="240" w:lineRule="auto"/>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p w:rsidR="00000000" w:rsidDel="00000000" w:rsidP="00000000" w:rsidRDefault="00000000" w:rsidRPr="00000000" w14:paraId="00000013">
      <w:pPr>
        <w:spacing w:line="240" w:lineRule="auto"/>
        <w:ind w:left="0" w:firstLine="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14">
      <w:pPr>
        <w:spacing w:line="240" w:lineRule="auto"/>
        <w:ind w:left="0" w:firstLine="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15">
      <w:pPr>
        <w:spacing w:line="240" w:lineRule="auto"/>
        <w:ind w:left="0" w:firstLine="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16">
      <w:pPr>
        <w:spacing w:line="240" w:lineRule="auto"/>
        <w:ind w:left="0" w:firstLine="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Part One: Teaching</w:t>
      </w:r>
    </w:p>
    <w:tbl>
      <w:tblPr>
        <w:tblStyle w:val="Table3"/>
        <w:tblW w:w="93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80"/>
        <w:gridCol w:w="4410"/>
        <w:tblGridChange w:id="0">
          <w:tblGrid>
            <w:gridCol w:w="4980"/>
            <w:gridCol w:w="4410"/>
          </w:tblGrid>
        </w:tblGridChange>
      </w:tblGrid>
      <w:tr>
        <w:trPr>
          <w:trHeight w:val="30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ind w:left="900" w:hanging="42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1.      Set high expectations which inspire, motivate and challenge pupils</w:t>
            </w:r>
          </w:p>
          <w:p w:rsidR="00000000" w:rsidDel="00000000" w:rsidP="00000000" w:rsidRDefault="00000000" w:rsidRPr="00000000" w14:paraId="00000018">
            <w:pPr>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b w:val="1"/>
                <w:sz w:val="20"/>
                <w:szCs w:val="20"/>
                <w:highlight w:val="white"/>
                <w:rtl w:val="0"/>
              </w:rPr>
              <w:t xml:space="preserve">●</w:t>
              <w:tab/>
            </w:r>
            <w:r w:rsidDel="00000000" w:rsidR="00000000" w:rsidRPr="00000000">
              <w:rPr>
                <w:rFonts w:ascii="Lora" w:cs="Lora" w:eastAsia="Lora" w:hAnsi="Lora"/>
                <w:sz w:val="20"/>
                <w:szCs w:val="20"/>
                <w:highlight w:val="white"/>
                <w:rtl w:val="0"/>
              </w:rPr>
              <w:t xml:space="preserve">establish a safe and stimulating environment for pupils, rooted in mutual respect;</w:t>
            </w:r>
          </w:p>
          <w:p w:rsidR="00000000" w:rsidDel="00000000" w:rsidP="00000000" w:rsidRDefault="00000000" w:rsidRPr="00000000" w14:paraId="00000019">
            <w:pPr>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set goals that stretch and challenge pupils of all backgrounds, abilities and dispositions;</w:t>
            </w:r>
          </w:p>
          <w:p w:rsidR="00000000" w:rsidDel="00000000" w:rsidP="00000000" w:rsidRDefault="00000000" w:rsidRPr="00000000" w14:paraId="0000001A">
            <w:pPr>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demonstrate consistently the positive attitudes, values and behaviour which are expected of pupils.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ind w:left="1170" w:firstLine="270"/>
              <w:contextualSpacing w:val="0"/>
              <w:jc w:val="center"/>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Comments</w:t>
            </w:r>
          </w:p>
          <w:p w:rsidR="00000000" w:rsidDel="00000000" w:rsidP="00000000" w:rsidRDefault="00000000" w:rsidRPr="00000000" w14:paraId="0000001C">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c>
      </w:tr>
      <w:tr>
        <w:trPr>
          <w:trHeight w:val="43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ind w:left="900" w:hanging="42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2.     Promote good progress and outcomes by pupils</w:t>
            </w:r>
          </w:p>
          <w:p w:rsidR="00000000" w:rsidDel="00000000" w:rsidP="00000000" w:rsidRDefault="00000000" w:rsidRPr="00000000" w14:paraId="0000001E">
            <w:pPr>
              <w:ind w:left="900" w:hanging="42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1F">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b w:val="1"/>
                <w:sz w:val="20"/>
                <w:szCs w:val="20"/>
                <w:highlight w:val="white"/>
                <w:rtl w:val="0"/>
              </w:rPr>
              <w:t xml:space="preserve">●</w:t>
              <w:tab/>
            </w:r>
            <w:r w:rsidDel="00000000" w:rsidR="00000000" w:rsidRPr="00000000">
              <w:rPr>
                <w:rFonts w:ascii="Lora" w:cs="Lora" w:eastAsia="Lora" w:hAnsi="Lora"/>
                <w:sz w:val="20"/>
                <w:szCs w:val="20"/>
                <w:highlight w:val="white"/>
                <w:rtl w:val="0"/>
              </w:rPr>
              <w:t xml:space="preserve">be accountable for pupils’ attainment, progress and outcomes;</w:t>
            </w:r>
          </w:p>
          <w:p w:rsidR="00000000" w:rsidDel="00000000" w:rsidP="00000000" w:rsidRDefault="00000000" w:rsidRPr="00000000" w14:paraId="00000020">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be aware of pupils’ capabilities and their prior knowledge and plan teaching to build on these;</w:t>
            </w:r>
          </w:p>
          <w:p w:rsidR="00000000" w:rsidDel="00000000" w:rsidP="00000000" w:rsidRDefault="00000000" w:rsidRPr="00000000" w14:paraId="00000021">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guide pupils to reflect on the progress they have made and their emerging needs;</w:t>
            </w:r>
          </w:p>
          <w:p w:rsidR="00000000" w:rsidDel="00000000" w:rsidP="00000000" w:rsidRDefault="00000000" w:rsidRPr="00000000" w14:paraId="00000022">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demonstrate knowledge and understanding of how pupils learn and how this impacts on teaching;                              </w:t>
              <w:tab/>
            </w:r>
          </w:p>
          <w:p w:rsidR="00000000" w:rsidDel="00000000" w:rsidP="00000000" w:rsidRDefault="00000000" w:rsidRPr="00000000" w14:paraId="00000023">
            <w:pPr>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encourage pupils to take a responsible and conscientious attitude to their own work and study.</w:t>
            </w:r>
          </w:p>
          <w:p w:rsidR="00000000" w:rsidDel="00000000" w:rsidP="00000000" w:rsidRDefault="00000000" w:rsidRPr="00000000" w14:paraId="00000024">
            <w:pPr>
              <w:ind w:left="1040" w:hanging="280"/>
              <w:contextualSpacing w:val="0"/>
              <w:rPr>
                <w:rFonts w:ascii="Lora" w:cs="Lora" w:eastAsia="Lora" w:hAnsi="Lora"/>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c>
      </w:tr>
      <w:tr>
        <w:trPr>
          <w:trHeight w:val="5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ind w:left="900" w:hanging="42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3.     Demonstrate good subject and curriculum knowledge</w:t>
            </w:r>
          </w:p>
          <w:p w:rsidR="00000000" w:rsidDel="00000000" w:rsidP="00000000" w:rsidRDefault="00000000" w:rsidRPr="00000000" w14:paraId="00000027">
            <w:pPr>
              <w:ind w:left="900" w:hanging="42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28">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b w:val="1"/>
                <w:sz w:val="20"/>
                <w:szCs w:val="20"/>
                <w:highlight w:val="white"/>
                <w:rtl w:val="0"/>
              </w:rPr>
              <w:t xml:space="preserve">●</w:t>
              <w:tab/>
            </w:r>
            <w:r w:rsidDel="00000000" w:rsidR="00000000" w:rsidRPr="00000000">
              <w:rPr>
                <w:rFonts w:ascii="Lora" w:cs="Lora" w:eastAsia="Lora" w:hAnsi="Lora"/>
                <w:sz w:val="20"/>
                <w:szCs w:val="20"/>
                <w:highlight w:val="white"/>
                <w:rtl w:val="0"/>
              </w:rPr>
              <w:t xml:space="preserve">have a secure knowledge of the relevant subject(s) and curriculum areas, foster and maintain pupils’ interest in the subject, and address misunderstandings;</w:t>
            </w:r>
          </w:p>
          <w:p w:rsidR="00000000" w:rsidDel="00000000" w:rsidP="00000000" w:rsidRDefault="00000000" w:rsidRPr="00000000" w14:paraId="00000029">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demonstrate a critical understanding of developments in the subject and curriculum areas, and promote the value of scholarship;</w:t>
            </w:r>
          </w:p>
          <w:p w:rsidR="00000000" w:rsidDel="00000000" w:rsidP="00000000" w:rsidRDefault="00000000" w:rsidRPr="00000000" w14:paraId="0000002A">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demonstrate an understanding of and take responsibility for promoting high standards of literacy, articulacy and the correct use of standard English, whatever the teacher’s specialist subject;</w:t>
            </w:r>
          </w:p>
          <w:p w:rsidR="00000000" w:rsidDel="00000000" w:rsidP="00000000" w:rsidRDefault="00000000" w:rsidRPr="00000000" w14:paraId="0000002B">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if teaching early reading, demonstrate a clear understanding of systematic synthetic phonics;</w:t>
            </w:r>
          </w:p>
          <w:p w:rsidR="00000000" w:rsidDel="00000000" w:rsidP="00000000" w:rsidRDefault="00000000" w:rsidRPr="00000000" w14:paraId="0000002C">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if teaching early mathematics, demonstrate a clear understanding of appropriate teaching strategies.</w:t>
            </w:r>
          </w:p>
          <w:p w:rsidR="00000000" w:rsidDel="00000000" w:rsidP="00000000" w:rsidRDefault="00000000" w:rsidRPr="00000000" w14:paraId="0000002D">
            <w:pPr>
              <w:spacing w:line="240" w:lineRule="auto"/>
              <w:ind w:left="1040" w:hanging="280"/>
              <w:contextualSpacing w:val="0"/>
              <w:rPr>
                <w:rFonts w:ascii="Lora" w:cs="Lora" w:eastAsia="Lora" w:hAnsi="Lora"/>
                <w:sz w:val="20"/>
                <w:szCs w:val="20"/>
                <w:highlight w:val="white"/>
              </w:rPr>
            </w:pPr>
            <w:r w:rsidDel="00000000" w:rsidR="00000000" w:rsidRPr="00000000">
              <w:rPr>
                <w:rtl w:val="0"/>
              </w:rPr>
            </w:r>
          </w:p>
          <w:p w:rsidR="00000000" w:rsidDel="00000000" w:rsidP="00000000" w:rsidRDefault="00000000" w:rsidRPr="00000000" w14:paraId="0000002E">
            <w:pPr>
              <w:spacing w:line="240" w:lineRule="auto"/>
              <w:ind w:left="1040" w:hanging="280"/>
              <w:contextualSpacing w:val="0"/>
              <w:rPr>
                <w:rFonts w:ascii="Lora" w:cs="Lora" w:eastAsia="Lora" w:hAnsi="Lora"/>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c>
      </w:tr>
      <w:tr>
        <w:trPr>
          <w:trHeight w:val="29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ind w:left="900" w:hanging="42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4.      Plan and teach well-structured lessons</w:t>
            </w:r>
          </w:p>
          <w:p w:rsidR="00000000" w:rsidDel="00000000" w:rsidP="00000000" w:rsidRDefault="00000000" w:rsidRPr="00000000" w14:paraId="00000031">
            <w:pPr>
              <w:ind w:left="900" w:hanging="42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32">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b w:val="1"/>
                <w:sz w:val="20"/>
                <w:szCs w:val="20"/>
                <w:highlight w:val="white"/>
                <w:rtl w:val="0"/>
              </w:rPr>
              <w:t xml:space="preserve">●</w:t>
              <w:tab/>
            </w:r>
            <w:r w:rsidDel="00000000" w:rsidR="00000000" w:rsidRPr="00000000">
              <w:rPr>
                <w:rFonts w:ascii="Lora" w:cs="Lora" w:eastAsia="Lora" w:hAnsi="Lora"/>
                <w:sz w:val="20"/>
                <w:szCs w:val="20"/>
                <w:highlight w:val="white"/>
                <w:rtl w:val="0"/>
              </w:rPr>
              <w:t xml:space="preserve">impart knowledge and develop understanding through effective use of lesson time;</w:t>
            </w:r>
          </w:p>
          <w:p w:rsidR="00000000" w:rsidDel="00000000" w:rsidP="00000000" w:rsidRDefault="00000000" w:rsidRPr="00000000" w14:paraId="00000033">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promote a love of learning and children’s intellectual curiosity;</w:t>
            </w:r>
          </w:p>
          <w:p w:rsidR="00000000" w:rsidDel="00000000" w:rsidP="00000000" w:rsidRDefault="00000000" w:rsidRPr="00000000" w14:paraId="00000034">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set homework and plan other out-of-class activities to consolidate and extend the knowledge and understanding pupils have acquired.</w:t>
            </w:r>
          </w:p>
          <w:p w:rsidR="00000000" w:rsidDel="00000000" w:rsidP="00000000" w:rsidRDefault="00000000" w:rsidRPr="00000000" w14:paraId="00000035">
            <w:pPr>
              <w:spacing w:line="240" w:lineRule="auto"/>
              <w:ind w:left="0" w:firstLine="0"/>
              <w:contextualSpacing w:val="0"/>
              <w:rPr>
                <w:rFonts w:ascii="Lora" w:cs="Lora" w:eastAsia="Lora" w:hAnsi="Lora"/>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c>
      </w:tr>
      <w:tr>
        <w:trPr>
          <w:trHeight w:val="43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900" w:hanging="42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5.     Adapt teaching to respond to the strengths and needs of all pupils</w:t>
            </w:r>
          </w:p>
          <w:p w:rsidR="00000000" w:rsidDel="00000000" w:rsidP="00000000" w:rsidRDefault="00000000" w:rsidRPr="00000000" w14:paraId="00000038">
            <w:pPr>
              <w:ind w:left="900" w:hanging="42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39">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b w:val="1"/>
                <w:sz w:val="20"/>
                <w:szCs w:val="20"/>
                <w:highlight w:val="white"/>
                <w:rtl w:val="0"/>
              </w:rPr>
              <w:t xml:space="preserve">●</w:t>
              <w:tab/>
            </w:r>
            <w:r w:rsidDel="00000000" w:rsidR="00000000" w:rsidRPr="00000000">
              <w:rPr>
                <w:rFonts w:ascii="Lora" w:cs="Lora" w:eastAsia="Lora" w:hAnsi="Lora"/>
                <w:sz w:val="20"/>
                <w:szCs w:val="20"/>
                <w:highlight w:val="white"/>
                <w:rtl w:val="0"/>
              </w:rPr>
              <w:t xml:space="preserve">know when and how to differentiate appropriately, using approaches which enable pupils to be taught effectively;</w:t>
            </w:r>
          </w:p>
          <w:p w:rsidR="00000000" w:rsidDel="00000000" w:rsidP="00000000" w:rsidRDefault="00000000" w:rsidRPr="00000000" w14:paraId="0000003A">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demonstrate an awareness of the physical, social and intellectual development of children, and know how to adapt teaching to support pupils’ education at different stages of development;</w:t>
            </w:r>
          </w:p>
          <w:p w:rsidR="00000000" w:rsidDel="00000000" w:rsidP="00000000" w:rsidRDefault="00000000" w:rsidRPr="00000000" w14:paraId="0000003B">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000000" w:rsidDel="00000000" w:rsidP="00000000" w:rsidRDefault="00000000" w:rsidRPr="00000000" w14:paraId="0000003C">
            <w:pPr>
              <w:spacing w:line="240" w:lineRule="auto"/>
              <w:ind w:left="0" w:firstLine="0"/>
              <w:contextualSpacing w:val="0"/>
              <w:rPr>
                <w:rFonts w:ascii="Lora" w:cs="Lora" w:eastAsia="Lora" w:hAnsi="Lora"/>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c>
      </w:tr>
      <w:tr>
        <w:trPr>
          <w:trHeight w:val="28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900" w:hanging="42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6.     Make accurate and productive use of assessment</w:t>
            </w:r>
          </w:p>
          <w:p w:rsidR="00000000" w:rsidDel="00000000" w:rsidP="00000000" w:rsidRDefault="00000000" w:rsidRPr="00000000" w14:paraId="0000003F">
            <w:pPr>
              <w:ind w:left="900" w:hanging="42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40">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b w:val="1"/>
                <w:sz w:val="20"/>
                <w:szCs w:val="20"/>
                <w:highlight w:val="white"/>
                <w:rtl w:val="0"/>
              </w:rPr>
              <w:t xml:space="preserve">●</w:t>
              <w:tab/>
            </w:r>
            <w:r w:rsidDel="00000000" w:rsidR="00000000" w:rsidRPr="00000000">
              <w:rPr>
                <w:rFonts w:ascii="Lora" w:cs="Lora" w:eastAsia="Lora" w:hAnsi="Lora"/>
                <w:sz w:val="20"/>
                <w:szCs w:val="20"/>
                <w:highlight w:val="white"/>
                <w:rtl w:val="0"/>
              </w:rPr>
              <w:t xml:space="preserve">make use of formative and summative assessment to secure pupils’ progress;</w:t>
            </w:r>
          </w:p>
          <w:p w:rsidR="00000000" w:rsidDel="00000000" w:rsidP="00000000" w:rsidRDefault="00000000" w:rsidRPr="00000000" w14:paraId="00000041">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give pupils regular feedback, both orally and through accurate marking, and encourage pupils to respond to the feedback.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c>
      </w:tr>
      <w:tr>
        <w:trPr>
          <w:trHeight w:val="5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900" w:hanging="42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7.      Manage behaviour effectively to ensure a good and safe learning environment</w:t>
            </w:r>
          </w:p>
          <w:p w:rsidR="00000000" w:rsidDel="00000000" w:rsidP="00000000" w:rsidRDefault="00000000" w:rsidRPr="00000000" w14:paraId="00000044">
            <w:pPr>
              <w:ind w:left="900" w:hanging="42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45">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b w:val="1"/>
                <w:sz w:val="20"/>
                <w:szCs w:val="20"/>
                <w:highlight w:val="white"/>
                <w:rtl w:val="0"/>
              </w:rPr>
              <w:t xml:space="preserve">●</w:t>
              <w:tab/>
            </w:r>
            <w:r w:rsidDel="00000000" w:rsidR="00000000" w:rsidRPr="00000000">
              <w:rPr>
                <w:rFonts w:ascii="Lora" w:cs="Lora" w:eastAsia="Lora" w:hAnsi="Lora"/>
                <w:sz w:val="20"/>
                <w:szCs w:val="20"/>
                <w:highlight w:val="white"/>
                <w:rtl w:val="0"/>
              </w:rPr>
              <w:t xml:space="preserve">have clear rules and routines for behaviour in classrooms, and take responsibility for promoting good and courteous behaviour both in classrooms and around the school, in accordance with the school’s behaviour policy;</w:t>
            </w:r>
          </w:p>
          <w:p w:rsidR="00000000" w:rsidDel="00000000" w:rsidP="00000000" w:rsidRDefault="00000000" w:rsidRPr="00000000" w14:paraId="00000046">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have high expectations of behaviour, and establish a framework for discipline with a range of strategies, using praise, sanctions and rewards consistently and fairly;</w:t>
            </w:r>
          </w:p>
          <w:p w:rsidR="00000000" w:rsidDel="00000000" w:rsidP="00000000" w:rsidRDefault="00000000" w:rsidRPr="00000000" w14:paraId="00000047">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manage classes effectively, using approaches which are appropriate to pupils’ needs in order to involve and motivate them;</w:t>
            </w:r>
          </w:p>
          <w:p w:rsidR="00000000" w:rsidDel="00000000" w:rsidP="00000000" w:rsidRDefault="00000000" w:rsidRPr="00000000" w14:paraId="00000048">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maintain good relationships with pupils, exercise appropriate authority, and act decisively when necessary.</w:t>
            </w:r>
          </w:p>
          <w:p w:rsidR="00000000" w:rsidDel="00000000" w:rsidP="00000000" w:rsidRDefault="00000000" w:rsidRPr="00000000" w14:paraId="00000049">
            <w:pPr>
              <w:spacing w:line="240" w:lineRule="auto"/>
              <w:ind w:left="0" w:firstLine="0"/>
              <w:contextualSpacing w:val="0"/>
              <w:rPr>
                <w:rFonts w:ascii="Lora" w:cs="Lora" w:eastAsia="Lora" w:hAnsi="Lora"/>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c>
      </w:tr>
      <w:tr>
        <w:trPr>
          <w:trHeight w:val="1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ind w:left="900" w:hanging="42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8.    Fulfil wider professional responsibilities</w:t>
            </w:r>
          </w:p>
          <w:p w:rsidR="00000000" w:rsidDel="00000000" w:rsidP="00000000" w:rsidRDefault="00000000" w:rsidRPr="00000000" w14:paraId="0000004C">
            <w:pPr>
              <w:ind w:left="900" w:hanging="42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4D">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b w:val="1"/>
                <w:sz w:val="20"/>
                <w:szCs w:val="20"/>
                <w:highlight w:val="white"/>
                <w:rtl w:val="0"/>
              </w:rPr>
              <w:t xml:space="preserve">●</w:t>
              <w:tab/>
            </w:r>
            <w:r w:rsidDel="00000000" w:rsidR="00000000" w:rsidRPr="00000000">
              <w:rPr>
                <w:rFonts w:ascii="Lora" w:cs="Lora" w:eastAsia="Lora" w:hAnsi="Lora"/>
                <w:sz w:val="20"/>
                <w:szCs w:val="20"/>
                <w:highlight w:val="white"/>
                <w:rtl w:val="0"/>
              </w:rPr>
              <w:t xml:space="preserve">develop effective professional relationships with colleagues, knowing how and when to draw on advice and specialist support;</w:t>
            </w:r>
          </w:p>
          <w:p w:rsidR="00000000" w:rsidDel="00000000" w:rsidP="00000000" w:rsidRDefault="00000000" w:rsidRPr="00000000" w14:paraId="0000004E">
            <w:pPr>
              <w:spacing w:line="240" w:lineRule="auto"/>
              <w:ind w:left="1040" w:hanging="28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w:t>
              <w:tab/>
              <w:t xml:space="preserve">deploy support staff effectively.</w:t>
            </w:r>
          </w:p>
          <w:p w:rsidR="00000000" w:rsidDel="00000000" w:rsidP="00000000" w:rsidRDefault="00000000" w:rsidRPr="00000000" w14:paraId="0000004F">
            <w:pPr>
              <w:spacing w:line="240" w:lineRule="auto"/>
              <w:ind w:left="0" w:firstLine="0"/>
              <w:contextualSpacing w:val="0"/>
              <w:rPr>
                <w:rFonts w:ascii="Lora" w:cs="Lora" w:eastAsia="Lora" w:hAnsi="Lora"/>
                <w:sz w:val="20"/>
                <w:szCs w:val="20"/>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tc>
      </w:tr>
    </w:tbl>
    <w:p w:rsidR="00000000" w:rsidDel="00000000" w:rsidP="00000000" w:rsidRDefault="00000000" w:rsidRPr="00000000" w14:paraId="00000051">
      <w:pPr>
        <w:spacing w:line="240" w:lineRule="auto"/>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p w:rsidR="00000000" w:rsidDel="00000000" w:rsidP="00000000" w:rsidRDefault="00000000" w:rsidRPr="00000000" w14:paraId="00000052">
      <w:pPr>
        <w:spacing w:line="240" w:lineRule="auto"/>
        <w:ind w:left="0" w:firstLine="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53">
      <w:pPr>
        <w:spacing w:line="240" w:lineRule="auto"/>
        <w:ind w:left="0" w:firstLine="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54">
      <w:pPr>
        <w:spacing w:line="240" w:lineRule="auto"/>
        <w:ind w:left="0" w:firstLine="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Part Two: Personal and professional conduct</w:t>
      </w:r>
    </w:p>
    <w:tbl>
      <w:tblPr>
        <w:tblStyle w:val="Table4"/>
        <w:tblW w:w="93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20"/>
        <w:gridCol w:w="4470"/>
        <w:tblGridChange w:id="0">
          <w:tblGrid>
            <w:gridCol w:w="4920"/>
            <w:gridCol w:w="4470"/>
          </w:tblGrid>
        </w:tblGridChange>
      </w:tblGrid>
      <w:tr>
        <w:trPr>
          <w:trHeight w:val="29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ind w:left="0" w:firstLine="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Teachers uphold public trust in the profession and maintain high standards of ethics and behaviour, within and outside school, by:</w:t>
            </w:r>
          </w:p>
          <w:p w:rsidR="00000000" w:rsidDel="00000000" w:rsidP="00000000" w:rsidRDefault="00000000" w:rsidRPr="00000000" w14:paraId="00000056">
            <w:pPr>
              <w:ind w:left="0" w:firstLine="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57">
            <w:pPr>
              <w:spacing w:line="240" w:lineRule="auto"/>
              <w:ind w:left="1080" w:hanging="36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b w:val="1"/>
                <w:sz w:val="20"/>
                <w:szCs w:val="20"/>
                <w:highlight w:val="white"/>
                <w:rtl w:val="0"/>
              </w:rPr>
              <w:t xml:space="preserve">●  </w:t>
            </w:r>
            <w:r w:rsidDel="00000000" w:rsidR="00000000" w:rsidRPr="00000000">
              <w:rPr>
                <w:rFonts w:ascii="Lora" w:cs="Lora" w:eastAsia="Lora" w:hAnsi="Lora"/>
                <w:sz w:val="20"/>
                <w:szCs w:val="20"/>
                <w:highlight w:val="white"/>
                <w:rtl w:val="0"/>
              </w:rPr>
              <w:tab/>
              <w:t xml:space="preserve">treating pupils with dignity, building relationships rooted in mutual respect, and at all times observing proper boundaries appropriate to a teacher’s professional position</w:t>
            </w:r>
          </w:p>
          <w:p w:rsidR="00000000" w:rsidDel="00000000" w:rsidP="00000000" w:rsidRDefault="00000000" w:rsidRPr="00000000" w14:paraId="00000058">
            <w:pPr>
              <w:spacing w:line="240" w:lineRule="auto"/>
              <w:ind w:left="1080" w:hanging="360"/>
              <w:contextualSpacing w:val="0"/>
              <w:rPr>
                <w:rFonts w:ascii="Lora" w:cs="Lora" w:eastAsia="Lora" w:hAnsi="Lora"/>
                <w:sz w:val="20"/>
                <w:szCs w:val="20"/>
                <w:highlight w:val="white"/>
              </w:rPr>
            </w:pPr>
            <w:r w:rsidDel="00000000" w:rsidR="00000000" w:rsidRPr="00000000">
              <w:rPr>
                <w:rFonts w:ascii="Arial Unicode MS" w:cs="Arial Unicode MS" w:eastAsia="Arial Unicode MS" w:hAnsi="Arial Unicode MS"/>
                <w:sz w:val="20"/>
                <w:szCs w:val="20"/>
                <w:highlight w:val="white"/>
                <w:rtl w:val="0"/>
              </w:rPr>
              <w:t xml:space="preserve">●  </w:t>
              <w:tab/>
              <w:t xml:space="preserve">having regard for the need to safeguard pupils’ well-being, in accordance with statutory provisions.</w:t>
            </w:r>
          </w:p>
          <w:p w:rsidR="00000000" w:rsidDel="00000000" w:rsidP="00000000" w:rsidRDefault="00000000" w:rsidRPr="00000000" w14:paraId="00000059">
            <w:pPr>
              <w:spacing w:line="240" w:lineRule="auto"/>
              <w:ind w:left="0" w:firstLine="0"/>
              <w:contextualSpacing w:val="0"/>
              <w:rPr>
                <w:rFonts w:ascii="Lora" w:cs="Lora" w:eastAsia="Lora" w:hAnsi="Lora"/>
                <w:sz w:val="20"/>
                <w:szCs w:val="20"/>
                <w:highlight w:val="whit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ind w:left="0" w:firstLine="0"/>
              <w:contextualSpacing w:val="0"/>
              <w:jc w:val="left"/>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Comments:</w:t>
            </w:r>
          </w:p>
        </w:tc>
      </w:tr>
    </w:tbl>
    <w:p w:rsidR="00000000" w:rsidDel="00000000" w:rsidP="00000000" w:rsidRDefault="00000000" w:rsidRPr="00000000" w14:paraId="0000005B">
      <w:pPr>
        <w:spacing w:line="240" w:lineRule="auto"/>
        <w:ind w:left="0" w:firstLine="0"/>
        <w:contextualSpacing w:val="0"/>
        <w:rPr>
          <w:rFonts w:ascii="Lora" w:cs="Lora" w:eastAsia="Lora" w:hAnsi="Lora"/>
          <w:b w:val="1"/>
          <w:sz w:val="20"/>
          <w:szCs w:val="20"/>
          <w:highlight w:val="white"/>
        </w:rPr>
      </w:pPr>
      <w:r w:rsidDel="00000000" w:rsidR="00000000" w:rsidRPr="00000000">
        <w:rPr>
          <w:rtl w:val="0"/>
        </w:rPr>
      </w:r>
    </w:p>
    <w:p w:rsidR="00000000" w:rsidDel="00000000" w:rsidP="00000000" w:rsidRDefault="00000000" w:rsidRPr="00000000" w14:paraId="0000005C">
      <w:pPr>
        <w:spacing w:line="240" w:lineRule="auto"/>
        <w:ind w:left="1170" w:firstLine="270"/>
        <w:contextualSpacing w:val="0"/>
        <w:rPr>
          <w:rFonts w:ascii="Lora" w:cs="Lora" w:eastAsia="Lora" w:hAnsi="Lora"/>
          <w:b w:val="1"/>
          <w:sz w:val="20"/>
          <w:szCs w:val="20"/>
          <w:highlight w:val="white"/>
        </w:rPr>
      </w:pPr>
      <w:r w:rsidDel="00000000" w:rsidR="00000000" w:rsidRPr="00000000">
        <w:rPr>
          <w:rFonts w:ascii="Lora" w:cs="Lora" w:eastAsia="Lora" w:hAnsi="Lora"/>
          <w:b w:val="1"/>
          <w:sz w:val="20"/>
          <w:szCs w:val="20"/>
          <w:highlight w:val="white"/>
          <w:rtl w:val="0"/>
        </w:rPr>
        <w:t xml:space="preserve"> </w:t>
      </w:r>
    </w:p>
    <w:p w:rsidR="00000000" w:rsidDel="00000000" w:rsidP="00000000" w:rsidRDefault="00000000" w:rsidRPr="00000000" w14:paraId="0000005D">
      <w:pPr>
        <w:contextualSpacing w:val="0"/>
        <w:rPr>
          <w:rFonts w:ascii="Lora" w:cs="Lora" w:eastAsia="Lora" w:hAnsi="Lora"/>
          <w:b w:val="1"/>
          <w:sz w:val="24"/>
          <w:szCs w:val="24"/>
        </w:rPr>
      </w:pPr>
      <w:r w:rsidDel="00000000" w:rsidR="00000000" w:rsidRPr="00000000">
        <w:rPr>
          <w:rFonts w:ascii="Lora" w:cs="Lora" w:eastAsia="Lora" w:hAnsi="Lora"/>
          <w:b w:val="1"/>
          <w:sz w:val="24"/>
          <w:szCs w:val="24"/>
          <w:rtl w:val="0"/>
        </w:rPr>
        <w:t xml:space="preserve"> Feedback</w:t>
      </w:r>
    </w:p>
    <w:tbl>
      <w:tblPr>
        <w:tblStyle w:val="Table5"/>
        <w:tblW w:w="937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75"/>
        <w:tblGridChange w:id="0">
          <w:tblGrid>
            <w:gridCol w:w="9375"/>
          </w:tblGrid>
        </w:tblGridChange>
      </w:tblGrid>
      <w:tr>
        <w:trPr>
          <w:trHeight w:val="7540" w:hRule="atLeast"/>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before="0" w:line="240" w:lineRule="auto"/>
              <w:ind w:left="0" w:firstLine="0"/>
              <w:contextualSpacing w:val="0"/>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Strengths</w:t>
            </w:r>
          </w:p>
          <w:p w:rsidR="00000000" w:rsidDel="00000000" w:rsidP="00000000" w:rsidRDefault="00000000" w:rsidRPr="00000000" w14:paraId="0000005F">
            <w:pPr>
              <w:spacing w:after="0" w:before="0" w:line="240" w:lineRule="auto"/>
              <w:ind w:left="0" w:firstLine="0"/>
              <w:contextualSpacing w:val="0"/>
              <w:rPr>
                <w:rFonts w:ascii="Lora" w:cs="Lora" w:eastAsia="Lora" w:hAnsi="Lora"/>
                <w:sz w:val="20"/>
                <w:szCs w:val="20"/>
              </w:rPr>
            </w:pP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60">
            <w:pPr>
              <w:spacing w:after="0" w:before="0" w:line="240" w:lineRule="auto"/>
              <w:ind w:left="0" w:firstLine="0"/>
              <w:contextualSpacing w:val="0"/>
              <w:rPr>
                <w:rFonts w:ascii="Lora" w:cs="Lora" w:eastAsia="Lora" w:hAnsi="Lora"/>
                <w:sz w:val="20"/>
                <w:szCs w:val="20"/>
              </w:rPr>
            </w:pP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61">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62">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63">
            <w:pPr>
              <w:spacing w:after="0" w:before="0" w:line="240" w:lineRule="auto"/>
              <w:ind w:left="0" w:firstLine="0"/>
              <w:contextualSpacing w:val="0"/>
              <w:rPr>
                <w:rFonts w:ascii="Lora" w:cs="Lora" w:eastAsia="Lora" w:hAnsi="Lora"/>
                <w:sz w:val="20"/>
                <w:szCs w:val="20"/>
              </w:rPr>
            </w:pP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64">
            <w:pPr>
              <w:spacing w:after="0" w:before="0" w:line="240" w:lineRule="auto"/>
              <w:ind w:left="0" w:firstLine="0"/>
              <w:contextualSpacing w:val="0"/>
              <w:rPr>
                <w:rFonts w:ascii="Lora" w:cs="Lora" w:eastAsia="Lora" w:hAnsi="Lora"/>
                <w:sz w:val="20"/>
                <w:szCs w:val="20"/>
              </w:rPr>
            </w:pP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65">
            <w:pPr>
              <w:spacing w:after="0" w:before="0" w:line="240" w:lineRule="auto"/>
              <w:ind w:left="0" w:firstLine="0"/>
              <w:contextualSpacing w:val="0"/>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Areas for Development </w:t>
            </w:r>
          </w:p>
          <w:p w:rsidR="00000000" w:rsidDel="00000000" w:rsidP="00000000" w:rsidRDefault="00000000" w:rsidRPr="00000000" w14:paraId="00000066">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67">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68">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69">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6A">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6B">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6C">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6D">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6E">
            <w:pPr>
              <w:contextualSpacing w:val="0"/>
              <w:rPr>
                <w:rFonts w:ascii="Lora" w:cs="Lora" w:eastAsia="Lora" w:hAnsi="Lora"/>
                <w:sz w:val="20"/>
                <w:szCs w:val="20"/>
              </w:rPr>
            </w:pPr>
            <w:r w:rsidDel="00000000" w:rsidR="00000000" w:rsidRPr="00000000">
              <w:rPr>
                <w:rFonts w:ascii="Lora" w:cs="Lora" w:eastAsia="Lora" w:hAnsi="Lora"/>
                <w:sz w:val="20"/>
                <w:szCs w:val="20"/>
                <w:rtl w:val="0"/>
              </w:rPr>
              <w:t xml:space="preserve">On the evidence of this lesson is the NQT likely to satisfactorily meet the Teachers’ Standards?</w:t>
            </w:r>
          </w:p>
          <w:p w:rsidR="00000000" w:rsidDel="00000000" w:rsidP="00000000" w:rsidRDefault="00000000" w:rsidRPr="00000000" w14:paraId="0000006F">
            <w:pPr>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70">
            <w:pPr>
              <w:spacing w:line="360" w:lineRule="auto"/>
              <w:contextualSpacing w:val="0"/>
              <w:rPr>
                <w:rFonts w:ascii="Lora" w:cs="Lora" w:eastAsia="Lora" w:hAnsi="Lora"/>
                <w:sz w:val="20"/>
                <w:szCs w:val="20"/>
              </w:rPr>
            </w:pPr>
            <w:r w:rsidDel="00000000" w:rsidR="00000000" w:rsidRPr="00000000">
              <w:rPr>
                <w:rFonts w:ascii="Lora" w:cs="Lora" w:eastAsia="Lora" w:hAnsi="Lora"/>
                <w:b w:val="1"/>
                <w:sz w:val="20"/>
                <w:szCs w:val="20"/>
                <w:rtl w:val="0"/>
              </w:rPr>
              <w:t xml:space="preserve">YES/ NO   </w:t>
            </w: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71">
            <w:pPr>
              <w:contextualSpacing w:val="0"/>
              <w:rPr>
                <w:rFonts w:ascii="Lora" w:cs="Lora" w:eastAsia="Lora" w:hAnsi="Lora"/>
                <w:sz w:val="20"/>
                <w:szCs w:val="20"/>
                <w:u w:val="single"/>
              </w:rPr>
            </w:pPr>
            <w:r w:rsidDel="00000000" w:rsidR="00000000" w:rsidRPr="00000000">
              <w:rPr>
                <w:rFonts w:ascii="Lora" w:cs="Lora" w:eastAsia="Lora" w:hAnsi="Lora"/>
                <w:sz w:val="20"/>
                <w:szCs w:val="20"/>
                <w:u w:val="single"/>
                <w:rtl w:val="0"/>
              </w:rPr>
              <w:t xml:space="preserve">Comments: </w:t>
            </w:r>
          </w:p>
          <w:p w:rsidR="00000000" w:rsidDel="00000000" w:rsidP="00000000" w:rsidRDefault="00000000" w:rsidRPr="00000000" w14:paraId="00000072">
            <w:pPr>
              <w:contextualSpacing w:val="0"/>
              <w:rPr>
                <w:rFonts w:ascii="Lora" w:cs="Lora" w:eastAsia="Lora" w:hAnsi="Lora"/>
                <w:sz w:val="20"/>
                <w:szCs w:val="20"/>
                <w:u w:val="single"/>
              </w:rPr>
            </w:pPr>
            <w:r w:rsidDel="00000000" w:rsidR="00000000" w:rsidRPr="00000000">
              <w:rPr>
                <w:rtl w:val="0"/>
              </w:rPr>
            </w:r>
          </w:p>
          <w:p w:rsidR="00000000" w:rsidDel="00000000" w:rsidP="00000000" w:rsidRDefault="00000000" w:rsidRPr="00000000" w14:paraId="00000073">
            <w:pPr>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74">
            <w:pPr>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75">
            <w:pPr>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76">
            <w:pPr>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77">
            <w:pPr>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78">
            <w:pPr>
              <w:contextualSpacing w:val="0"/>
              <w:rPr>
                <w:rFonts w:ascii="Lora" w:cs="Lora" w:eastAsia="Lora" w:hAnsi="Lora"/>
                <w:sz w:val="20"/>
                <w:szCs w:val="20"/>
              </w:rPr>
            </w:pP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79">
            <w:pPr>
              <w:contextualSpacing w:val="0"/>
              <w:rPr>
                <w:rFonts w:ascii="Lora" w:cs="Lora" w:eastAsia="Lora" w:hAnsi="Lora"/>
                <w:b w:val="1"/>
                <w:sz w:val="20"/>
                <w:szCs w:val="20"/>
              </w:rPr>
            </w:pPr>
            <w:r w:rsidDel="00000000" w:rsidR="00000000" w:rsidRPr="00000000">
              <w:rPr>
                <w:rFonts w:ascii="Lora" w:cs="Lora" w:eastAsia="Lora" w:hAnsi="Lora"/>
                <w:b w:val="1"/>
                <w:sz w:val="20"/>
                <w:szCs w:val="20"/>
                <w:u w:val="single"/>
                <w:rtl w:val="0"/>
              </w:rPr>
              <w:t xml:space="preserve">Agreed Actions</w:t>
            </w:r>
            <w:r w:rsidDel="00000000" w:rsidR="00000000" w:rsidRPr="00000000">
              <w:rPr>
                <w:rFonts w:ascii="Lora" w:cs="Lora" w:eastAsia="Lora" w:hAnsi="Lora"/>
                <w:b w:val="1"/>
                <w:sz w:val="20"/>
                <w:szCs w:val="20"/>
                <w:rtl w:val="0"/>
              </w:rPr>
              <w:t xml:space="preserve">:</w:t>
            </w:r>
          </w:p>
          <w:p w:rsidR="00000000" w:rsidDel="00000000" w:rsidP="00000000" w:rsidRDefault="00000000" w:rsidRPr="00000000" w14:paraId="0000007A">
            <w:pPr>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7B">
            <w:pPr>
              <w:contextualSpacing w:val="0"/>
              <w:rPr>
                <w:rFonts w:ascii="Lora" w:cs="Lora" w:eastAsia="Lora" w:hAnsi="Lora"/>
                <w:sz w:val="20"/>
                <w:szCs w:val="20"/>
              </w:rPr>
            </w:pPr>
            <w:r w:rsidDel="00000000" w:rsidR="00000000" w:rsidRPr="00000000">
              <w:rPr>
                <w:rFonts w:ascii="Arial Unicode MS" w:cs="Arial Unicode MS" w:eastAsia="Arial Unicode MS" w:hAnsi="Arial Unicode MS"/>
                <w:sz w:val="20"/>
                <w:szCs w:val="20"/>
                <w:rtl w:val="0"/>
              </w:rPr>
              <w:t xml:space="preserve">●  </w:t>
              <w:tab/>
              <w:t xml:space="preserve"> </w:t>
            </w:r>
          </w:p>
          <w:p w:rsidR="00000000" w:rsidDel="00000000" w:rsidP="00000000" w:rsidRDefault="00000000" w:rsidRPr="00000000" w14:paraId="0000007C">
            <w:pPr>
              <w:contextualSpacing w:val="0"/>
              <w:rPr>
                <w:rFonts w:ascii="Lora" w:cs="Lora" w:eastAsia="Lora" w:hAnsi="Lora"/>
                <w:sz w:val="20"/>
                <w:szCs w:val="20"/>
              </w:rPr>
            </w:pPr>
            <w:r w:rsidDel="00000000" w:rsidR="00000000" w:rsidRPr="00000000">
              <w:rPr>
                <w:rFonts w:ascii="Arial Unicode MS" w:cs="Arial Unicode MS" w:eastAsia="Arial Unicode MS" w:hAnsi="Arial Unicode MS"/>
                <w:sz w:val="20"/>
                <w:szCs w:val="20"/>
                <w:rtl w:val="0"/>
              </w:rPr>
              <w:t xml:space="preserve">●  </w:t>
              <w:tab/>
              <w:t xml:space="preserve"> </w:t>
            </w:r>
          </w:p>
          <w:p w:rsidR="00000000" w:rsidDel="00000000" w:rsidP="00000000" w:rsidRDefault="00000000" w:rsidRPr="00000000" w14:paraId="0000007D">
            <w:pPr>
              <w:contextualSpacing w:val="0"/>
              <w:rPr>
                <w:rFonts w:ascii="Lora" w:cs="Lora" w:eastAsia="Lora" w:hAnsi="Lora"/>
                <w:sz w:val="20"/>
                <w:szCs w:val="20"/>
              </w:rPr>
            </w:pPr>
            <w:r w:rsidDel="00000000" w:rsidR="00000000" w:rsidRPr="00000000">
              <w:rPr>
                <w:rFonts w:ascii="Arial Unicode MS" w:cs="Arial Unicode MS" w:eastAsia="Arial Unicode MS" w:hAnsi="Arial Unicode MS"/>
                <w:sz w:val="20"/>
                <w:szCs w:val="20"/>
                <w:rtl w:val="0"/>
              </w:rPr>
              <w:t xml:space="preserve">●  </w:t>
              <w:tab/>
              <w:t xml:space="preserve"> </w:t>
            </w:r>
          </w:p>
          <w:p w:rsidR="00000000" w:rsidDel="00000000" w:rsidP="00000000" w:rsidRDefault="00000000" w:rsidRPr="00000000" w14:paraId="0000007E">
            <w:pPr>
              <w:contextualSpacing w:val="0"/>
              <w:rPr>
                <w:rFonts w:ascii="Lora" w:cs="Lora" w:eastAsia="Lora" w:hAnsi="Lora"/>
                <w:sz w:val="20"/>
                <w:szCs w:val="20"/>
              </w:rPr>
            </w:pPr>
            <w:r w:rsidDel="00000000" w:rsidR="00000000" w:rsidRPr="00000000">
              <w:rPr>
                <w:rFonts w:ascii="Arial Unicode MS" w:cs="Arial Unicode MS" w:eastAsia="Arial Unicode MS" w:hAnsi="Arial Unicode MS"/>
                <w:sz w:val="20"/>
                <w:szCs w:val="20"/>
                <w:rtl w:val="0"/>
              </w:rPr>
              <w:t xml:space="preserve">●  </w:t>
              <w:tab/>
              <w:t xml:space="preserve"> </w:t>
            </w:r>
          </w:p>
          <w:p w:rsidR="00000000" w:rsidDel="00000000" w:rsidP="00000000" w:rsidRDefault="00000000" w:rsidRPr="00000000" w14:paraId="0000007F">
            <w:pPr>
              <w:contextualSpacing w:val="0"/>
              <w:rPr>
                <w:rFonts w:ascii="Lora" w:cs="Lora" w:eastAsia="Lora" w:hAnsi="Lora"/>
                <w:sz w:val="20"/>
                <w:szCs w:val="20"/>
              </w:rPr>
            </w:pPr>
            <w:r w:rsidDel="00000000" w:rsidR="00000000" w:rsidRPr="00000000">
              <w:rPr>
                <w:rFonts w:ascii="Arial Unicode MS" w:cs="Arial Unicode MS" w:eastAsia="Arial Unicode MS" w:hAnsi="Arial Unicode MS"/>
                <w:sz w:val="20"/>
                <w:szCs w:val="20"/>
                <w:rtl w:val="0"/>
              </w:rPr>
              <w:t xml:space="preserve">● </w:t>
            </w:r>
          </w:p>
          <w:p w:rsidR="00000000" w:rsidDel="00000000" w:rsidP="00000000" w:rsidRDefault="00000000" w:rsidRPr="00000000" w14:paraId="00000080">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81">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82">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83">
            <w:pPr>
              <w:spacing w:after="0" w:before="0" w:line="240" w:lineRule="auto"/>
              <w:ind w:left="0" w:firstLine="0"/>
              <w:contextualSpacing w:val="0"/>
              <w:rPr>
                <w:rFonts w:ascii="Lora" w:cs="Lora" w:eastAsia="Lora" w:hAnsi="Lora"/>
                <w:sz w:val="20"/>
                <w:szCs w:val="20"/>
              </w:rPr>
            </w:pPr>
            <w:r w:rsidDel="00000000" w:rsidR="00000000" w:rsidRPr="00000000">
              <w:rPr>
                <w:rtl w:val="0"/>
              </w:rPr>
            </w:r>
          </w:p>
          <w:p w:rsidR="00000000" w:rsidDel="00000000" w:rsidP="00000000" w:rsidRDefault="00000000" w:rsidRPr="00000000" w14:paraId="00000084">
            <w:pPr>
              <w:spacing w:after="0" w:before="0" w:line="240" w:lineRule="auto"/>
              <w:ind w:left="0" w:firstLine="0"/>
              <w:contextualSpacing w:val="0"/>
              <w:rPr>
                <w:rFonts w:ascii="Lora" w:cs="Lora" w:eastAsia="Lora" w:hAnsi="Lora"/>
                <w:sz w:val="20"/>
                <w:szCs w:val="20"/>
              </w:rPr>
            </w:pPr>
            <w:r w:rsidDel="00000000" w:rsidR="00000000" w:rsidRPr="00000000">
              <w:rPr>
                <w:rtl w:val="0"/>
              </w:rPr>
            </w:r>
          </w:p>
        </w:tc>
      </w:tr>
    </w:tbl>
    <w:p w:rsidR="00000000" w:rsidDel="00000000" w:rsidP="00000000" w:rsidRDefault="00000000" w:rsidRPr="00000000" w14:paraId="00000085">
      <w:pPr>
        <w:contextualSpacing w:val="0"/>
        <w:rPr>
          <w:rFonts w:ascii="Lora" w:cs="Lora" w:eastAsia="Lora" w:hAnsi="Lora"/>
          <w:sz w:val="20"/>
          <w:szCs w:val="20"/>
        </w:rPr>
      </w:pP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86">
      <w:pPr>
        <w:contextualSpacing w:val="0"/>
        <w:rPr>
          <w:rFonts w:ascii="Lora" w:cs="Lora" w:eastAsia="Lora" w:hAnsi="Lora"/>
          <w:b w:val="1"/>
          <w:sz w:val="20"/>
          <w:szCs w:val="20"/>
        </w:rPr>
      </w:pPr>
      <w:r w:rsidDel="00000000" w:rsidR="00000000" w:rsidRPr="00000000">
        <w:rPr>
          <w:rFonts w:ascii="Lora" w:cs="Lora" w:eastAsia="Lora" w:hAnsi="Lora"/>
          <w:b w:val="1"/>
          <w:sz w:val="20"/>
          <w:szCs w:val="20"/>
          <w:rtl w:val="0"/>
        </w:rPr>
        <w:t xml:space="preserve">Signed:…………………………………………… (NQT)       </w:t>
        <w:tab/>
        <w:t xml:space="preserve">       </w:t>
        <w:tab/>
        <w:t xml:space="preserve">Date:</w:t>
      </w:r>
    </w:p>
    <w:p w:rsidR="00000000" w:rsidDel="00000000" w:rsidP="00000000" w:rsidRDefault="00000000" w:rsidRPr="00000000" w14:paraId="00000087">
      <w:pPr>
        <w:contextualSpacing w:val="0"/>
        <w:rPr>
          <w:rFonts w:ascii="Lora" w:cs="Lora" w:eastAsia="Lora" w:hAnsi="Lora"/>
          <w:b w:val="1"/>
          <w:sz w:val="20"/>
          <w:szCs w:val="20"/>
        </w:rPr>
      </w:pPr>
      <w:r w:rsidDel="00000000" w:rsidR="00000000" w:rsidRPr="00000000">
        <w:rPr>
          <w:rFonts w:ascii="Lora" w:cs="Lora" w:eastAsia="Lora" w:hAnsi="Lora"/>
          <w:b w:val="1"/>
          <w:sz w:val="20"/>
          <w:szCs w:val="20"/>
          <w:rtl w:val="0"/>
        </w:rPr>
        <w:t xml:space="preserve"> </w:t>
      </w:r>
    </w:p>
    <w:p w:rsidR="00000000" w:rsidDel="00000000" w:rsidP="00000000" w:rsidRDefault="00000000" w:rsidRPr="00000000" w14:paraId="00000088">
      <w:pPr>
        <w:contextualSpacing w:val="0"/>
        <w:rPr>
          <w:rFonts w:ascii="Lora" w:cs="Lora" w:eastAsia="Lora" w:hAnsi="Lora"/>
          <w:b w:val="1"/>
          <w:sz w:val="20"/>
          <w:szCs w:val="20"/>
        </w:rPr>
      </w:pPr>
      <w:r w:rsidDel="00000000" w:rsidR="00000000" w:rsidRPr="00000000">
        <w:rPr>
          <w:rFonts w:ascii="Lora" w:cs="Lora" w:eastAsia="Lora" w:hAnsi="Lora"/>
          <w:b w:val="1"/>
          <w:sz w:val="20"/>
          <w:szCs w:val="20"/>
          <w:rtl w:val="0"/>
        </w:rPr>
        <w:t xml:space="preserve"> </w:t>
      </w:r>
    </w:p>
    <w:p w:rsidR="00000000" w:rsidDel="00000000" w:rsidP="00000000" w:rsidRDefault="00000000" w:rsidRPr="00000000" w14:paraId="00000089">
      <w:pPr>
        <w:contextualSpacing w:val="0"/>
        <w:rPr>
          <w:rFonts w:ascii="Lora" w:cs="Lora" w:eastAsia="Lora" w:hAnsi="Lora"/>
          <w:b w:val="1"/>
          <w:color w:val="ff0000"/>
          <w:sz w:val="20"/>
          <w:szCs w:val="20"/>
          <w:highlight w:val="white"/>
        </w:rPr>
      </w:pPr>
      <w:r w:rsidDel="00000000" w:rsidR="00000000" w:rsidRPr="00000000">
        <w:rPr>
          <w:rFonts w:ascii="Lora" w:cs="Lora" w:eastAsia="Lora" w:hAnsi="Lora"/>
          <w:b w:val="1"/>
          <w:sz w:val="20"/>
          <w:szCs w:val="20"/>
          <w:rtl w:val="0"/>
        </w:rPr>
        <w:t xml:space="preserve">Signed:…………………………………………… (Observer)</w:t>
        <w:tab/>
        <w:t xml:space="preserve">Date: </w:t>
      </w:r>
      <w:r w:rsidDel="00000000" w:rsidR="00000000" w:rsidRPr="00000000">
        <w:rPr>
          <w:rtl w:val="0"/>
        </w:rPr>
      </w:r>
    </w:p>
    <w:sectPr>
      <w:headerReference r:id="rId6" w:type="default"/>
      <w:footerReference r:id="rId7" w:type="default"/>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spacing w:before="200" w:line="276" w:lineRule="auto"/>
      <w:ind w:left="6.141732283464449" w:firstLine="0"/>
      <w:contextualSpacing w:val="0"/>
      <w:jc w:val="center"/>
      <w:rPr>
        <w:rFonts w:ascii="Source Sans Pro Light" w:cs="Source Sans Pro Light" w:eastAsia="Source Sans Pro Light" w:hAnsi="Source Sans Pro Light"/>
      </w:rPr>
    </w:pPr>
    <w:r w:rsidDel="00000000" w:rsidR="00000000" w:rsidRPr="00000000">
      <w:rPr>
        <w:rFonts w:ascii="Source Sans Pro Light" w:cs="Source Sans Pro Light" w:eastAsia="Source Sans Pro Light" w:hAnsi="Source Sans Pro Light"/>
        <w:rtl w:val="0"/>
      </w:rPr>
      <w:t xml:space="preserve">The Wroxham School, Wroxham Gardens, Potters Bar, Herts, EN6 3DJ</w:t>
    </w:r>
    <w:r w:rsidDel="00000000" w:rsidR="00000000" w:rsidRPr="00000000">
      <w:rPr>
        <w:rFonts w:ascii="Source Sans Pro Light" w:cs="Source Sans Pro Light" w:eastAsia="Source Sans Pro Light" w:hAnsi="Source Sans Pro Light"/>
        <w:rtl w:val="0"/>
      </w:rPr>
      <w:br w:type="textWrapping"/>
    </w:r>
    <w:r w:rsidDel="00000000" w:rsidR="00000000" w:rsidRPr="00000000">
      <w:rPr>
        <w:rFonts w:ascii="Source Sans Pro Light" w:cs="Source Sans Pro Light" w:eastAsia="Source Sans Pro Light" w:hAnsi="Source Sans Pro Light"/>
        <w:rtl w:val="0"/>
      </w:rPr>
      <w:t xml:space="preserve">Phone: 01707 643576</w:t>
    </w:r>
    <w:r w:rsidDel="00000000" w:rsidR="00000000" w:rsidRPr="00000000">
      <w:rPr>
        <w:rFonts w:ascii="Source Sans Pro Light" w:cs="Source Sans Pro Light" w:eastAsia="Source Sans Pro Light" w:hAnsi="Source Sans Pro Light"/>
        <w:rtl w:val="0"/>
      </w:rPr>
      <w:t xml:space="preserve"> </w:t>
    </w:r>
    <w:r w:rsidDel="00000000" w:rsidR="00000000" w:rsidRPr="00000000">
      <w:rPr>
        <w:rFonts w:ascii="Source Sans Pro Light" w:cs="Source Sans Pro Light" w:eastAsia="Source Sans Pro Light" w:hAnsi="Source Sans Pro Light"/>
        <w:rtl w:val="0"/>
      </w:rPr>
      <w:t xml:space="preserve"> |</w:t>
    </w:r>
    <w:r w:rsidDel="00000000" w:rsidR="00000000" w:rsidRPr="00000000">
      <w:rPr>
        <w:rFonts w:ascii="Source Sans Pro Light" w:cs="Source Sans Pro Light" w:eastAsia="Source Sans Pro Light" w:hAnsi="Source Sans Pro Light"/>
        <w:rtl w:val="0"/>
      </w:rPr>
      <w:t xml:space="preserve">  </w:t>
    </w:r>
    <w:r w:rsidDel="00000000" w:rsidR="00000000" w:rsidRPr="00000000">
      <w:rPr>
        <w:rFonts w:ascii="Source Sans Pro Light" w:cs="Source Sans Pro Light" w:eastAsia="Source Sans Pro Light" w:hAnsi="Source Sans Pro Light"/>
        <w:rtl w:val="0"/>
      </w:rPr>
      <w:t xml:space="preserve">Email:</w:t>
    </w:r>
    <w:r w:rsidDel="00000000" w:rsidR="00000000" w:rsidRPr="00000000">
      <w:rPr>
        <w:rFonts w:ascii="Source Sans Pro Light" w:cs="Source Sans Pro Light" w:eastAsia="Source Sans Pro Light" w:hAnsi="Source Sans Pro Light"/>
        <w:rtl w:val="0"/>
      </w:rPr>
      <w:t xml:space="preserve"> </w:t>
    </w:r>
    <w:hyperlink r:id="rId1">
      <w:r w:rsidDel="00000000" w:rsidR="00000000" w:rsidRPr="00000000">
        <w:rPr>
          <w:rFonts w:ascii="Source Sans Pro Light" w:cs="Source Sans Pro Light" w:eastAsia="Source Sans Pro Light" w:hAnsi="Source Sans Pro Light"/>
          <w:rtl w:val="0"/>
        </w:rPr>
        <w:t xml:space="preserve">events@thewroxham.net</w:t>
      </w:r>
    </w:hyperlink>
    <w:r w:rsidDel="00000000" w:rsidR="00000000" w:rsidRPr="00000000">
      <w:rPr>
        <w:rFonts w:ascii="Source Sans Pro Light" w:cs="Source Sans Pro Light" w:eastAsia="Source Sans Pro Light" w:hAnsi="Source Sans Pro Light"/>
        <w:rtl w:val="0"/>
      </w:rPr>
      <w:t xml:space="preserve"> </w:t>
    </w:r>
    <w:r w:rsidDel="00000000" w:rsidR="00000000" w:rsidRPr="00000000">
      <w:rPr>
        <w:rFonts w:ascii="Source Sans Pro Light" w:cs="Source Sans Pro Light" w:eastAsia="Source Sans Pro Light" w:hAnsi="Source Sans Pro Light"/>
        <w:rtl w:val="0"/>
      </w:rPr>
      <w:t xml:space="preserve"> |</w:t>
    </w:r>
    <w:r w:rsidDel="00000000" w:rsidR="00000000" w:rsidRPr="00000000">
      <w:rPr>
        <w:rFonts w:ascii="Source Sans Pro Light" w:cs="Source Sans Pro Light" w:eastAsia="Source Sans Pro Light" w:hAnsi="Source Sans Pro Light"/>
        <w:rtl w:val="0"/>
      </w:rPr>
      <w:t xml:space="preserve">  www.</w:t>
    </w:r>
    <w:r w:rsidDel="00000000" w:rsidR="00000000" w:rsidRPr="00000000">
      <w:rPr>
        <w:rFonts w:ascii="Source Sans Pro Light" w:cs="Source Sans Pro Light" w:eastAsia="Source Sans Pro Light" w:hAnsi="Source Sans Pro Light"/>
        <w:rtl w:val="0"/>
      </w:rPr>
      <w:t xml:space="preserve">wroxhamtla.org.uk</w:t>
    </w:r>
  </w:p>
  <w:p w:rsidR="00000000" w:rsidDel="00000000" w:rsidP="00000000" w:rsidRDefault="00000000" w:rsidRPr="00000000" w14:paraId="0000008C">
    <w:pPr>
      <w:spacing w:line="240" w:lineRule="auto"/>
      <w:ind w:left="-1133.8582677165355" w:firstLine="0"/>
      <w:contextualSpacing w:val="0"/>
      <w:rPr/>
    </w:pPr>
    <w:r w:rsidDel="00000000" w:rsidR="00000000" w:rsidRPr="00000000">
      <w:rPr>
        <w:rtl w:val="0"/>
      </w:rPr>
    </w:r>
  </w:p>
  <w:p w:rsidR="00000000" w:rsidDel="00000000" w:rsidP="00000000" w:rsidRDefault="00000000" w:rsidRPr="00000000" w14:paraId="0000008D">
    <w:pPr>
      <w:spacing w:line="240" w:lineRule="auto"/>
      <w:ind w:left="-1133.8582677165355" w:firstLine="0"/>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-734287</wp:posOffset>
          </wp:positionH>
          <wp:positionV relativeFrom="paragraph">
            <wp:posOffset>19050</wp:posOffset>
          </wp:positionV>
          <wp:extent cx="7590563" cy="271513"/>
          <wp:effectExtent b="0" l="0" r="0" t="0"/>
          <wp:wrapTopAndBottom distB="0" distT="0"/>
          <wp:docPr id="2"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7590563" cy="2715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after="300" w:before="600" w:line="240" w:lineRule="auto"/>
      <w:ind w:left="-1133.8582677165355" w:right="-1133.858267716535" w:firstLine="0"/>
      <w:contextualSpacing w:val="0"/>
      <w:rPr/>
    </w:pPr>
    <w:r w:rsidDel="00000000" w:rsidR="00000000" w:rsidRPr="00000000">
      <w:rPr/>
      <w:drawing>
        <wp:inline distB="114300" distT="114300" distL="114300" distR="114300">
          <wp:extent cx="7563713" cy="897713"/>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63713" cy="8977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events@thewroxham.net" TargetMode="External"/><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