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spacing w:before="0" w:line="276" w:lineRule="auto"/>
        <w:contextualSpacing w:val="0"/>
        <w:rPr>
          <w:sz w:val="28"/>
          <w:szCs w:val="28"/>
        </w:rPr>
      </w:pPr>
      <w:bookmarkStart w:colFirst="0" w:colLast="0" w:name="_vfzgos2759q2" w:id="0"/>
      <w:bookmarkEnd w:id="0"/>
      <w:r w:rsidDel="00000000" w:rsidR="00000000" w:rsidRPr="00000000">
        <w:rPr>
          <w:sz w:val="28"/>
          <w:szCs w:val="28"/>
          <w:rtl w:val="0"/>
        </w:rPr>
        <w:t xml:space="preserve">Record of Professional Progress Review</w:t>
      </w:r>
    </w:p>
    <w:p w:rsidR="00000000" w:rsidDel="00000000" w:rsidP="00000000" w:rsidRDefault="00000000" w:rsidRPr="00000000" w14:paraId="00000001">
      <w:pPr>
        <w:pStyle w:val="Heading1"/>
        <w:spacing w:before="0" w:line="276" w:lineRule="auto"/>
        <w:contextualSpacing w:val="0"/>
        <w:rPr>
          <w:rFonts w:ascii="Lora" w:cs="Lora" w:eastAsia="Lora" w:hAnsi="Lora"/>
          <w:sz w:val="20"/>
          <w:szCs w:val="20"/>
        </w:rPr>
      </w:pPr>
      <w:bookmarkStart w:colFirst="0" w:colLast="0" w:name="_3c2tt756h0af" w:id="1"/>
      <w:bookmarkEnd w:id="1"/>
      <w:r w:rsidDel="00000000" w:rsidR="00000000" w:rsidRPr="00000000">
        <w:rPr>
          <w:sz w:val="20"/>
          <w:szCs w:val="20"/>
          <w:rtl w:val="0"/>
        </w:rPr>
        <w:t xml:space="preserve">(To be completed by the NQT Induction Tutor and copied to the NQT)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NQT: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Induction Tutor: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Date of Meeting: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Lora" w:cs="Lora" w:eastAsia="Lora" w:hAnsi="Lora"/>
          <w:b w:val="1"/>
          <w:color w:val="0b5394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color w:val="0b5394"/>
          <w:sz w:val="20"/>
          <w:szCs w:val="20"/>
          <w:rtl w:val="0"/>
        </w:rPr>
        <w:t xml:space="preserve"> </w:t>
      </w:r>
    </w:p>
    <w:tbl>
      <w:tblPr>
        <w:tblStyle w:val="Table1"/>
        <w:tblW w:w="129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85"/>
        <w:gridCol w:w="2430"/>
        <w:gridCol w:w="1500"/>
        <w:gridCol w:w="2490"/>
        <w:gridCol w:w="1485"/>
        <w:tblGridChange w:id="0">
          <w:tblGrid>
            <w:gridCol w:w="5085"/>
            <w:gridCol w:w="2430"/>
            <w:gridCol w:w="1500"/>
            <w:gridCol w:w="2490"/>
            <w:gridCol w:w="148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Target &amp; standard reviewed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Key strengths, with evidence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Revised targets &amp; deadline date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Development needs (CPD activities)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Lora" w:cs="Lora" w:eastAsia="Lora" w:hAnsi="Lor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18"/>
                <w:szCs w:val="18"/>
                <w:rtl w:val="0"/>
              </w:rPr>
              <w:t xml:space="preserve">Success criteria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Lora" w:cs="Lora" w:eastAsia="Lora" w:hAnsi="Lora"/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color w:val="0b5394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contextualSpacing w:val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Lora" w:cs="Lora" w:eastAsia="Lora" w:hAnsi="Lora"/>
          <w:b w:val="1"/>
          <w:color w:val="0b5394"/>
          <w:sz w:val="40"/>
          <w:szCs w:val="4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 Date &amp; time for next meeting: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before="200" w:line="276" w:lineRule="auto"/>
      <w:ind w:left="6.141732283464449" w:firstLine="0"/>
      <w:contextualSpacing w:val="0"/>
      <w:jc w:val="center"/>
      <w:rPr>
        <w:rFonts w:ascii="Source Sans Pro Light" w:cs="Source Sans Pro Light" w:eastAsia="Source Sans Pro Light" w:hAnsi="Source Sans Pro Light"/>
      </w:rPr>
    </w:pP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The Wroxham School, Wroxham Gardens, Potters Bar, Herts, EN6 3DJ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br w:type="textWrapping"/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Phone: 01707 643576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 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 |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  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Email: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 </w:t>
    </w:r>
    <w:hyperlink r:id="rId1">
      <w:r w:rsidDel="00000000" w:rsidR="00000000" w:rsidRPr="00000000">
        <w:rPr>
          <w:rFonts w:ascii="Source Sans Pro Light" w:cs="Source Sans Pro Light" w:eastAsia="Source Sans Pro Light" w:hAnsi="Source Sans Pro Light"/>
          <w:rtl w:val="0"/>
        </w:rPr>
        <w:t xml:space="preserve">events@thewroxham.net</w:t>
      </w:r>
    </w:hyperlink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 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 |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  www.</w:t>
    </w:r>
    <w:r w:rsidDel="00000000" w:rsidR="00000000" w:rsidRPr="00000000">
      <w:rPr>
        <w:rFonts w:ascii="Source Sans Pro Light" w:cs="Source Sans Pro Light" w:eastAsia="Source Sans Pro Light" w:hAnsi="Source Sans Pro Light"/>
        <w:rtl w:val="0"/>
      </w:rPr>
      <w:t xml:space="preserve">wroxhamtla.org.uk</w:t>
    </w:r>
  </w:p>
  <w:p w:rsidR="00000000" w:rsidDel="00000000" w:rsidP="00000000" w:rsidRDefault="00000000" w:rsidRPr="00000000" w14:paraId="00000037">
    <w:pPr>
      <w:spacing w:line="240" w:lineRule="auto"/>
      <w:ind w:left="-1133.8582677165355" w:firstLine="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line="240" w:lineRule="auto"/>
      <w:ind w:left="-1133.8582677165355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1266825</wp:posOffset>
          </wp:positionH>
          <wp:positionV relativeFrom="paragraph">
            <wp:posOffset>19050</wp:posOffset>
          </wp:positionV>
          <wp:extent cx="7000013" cy="276225"/>
          <wp:effectExtent b="0" l="0" r="0" t="0"/>
          <wp:wrapTopAndBottom distB="0" dist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013" cy="2762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300" w:before="600" w:line="240" w:lineRule="auto"/>
      <w:ind w:left="-1133.8582677165355" w:right="-1133.858267716535" w:firstLine="0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620738" cy="895350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0738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Light-regular.ttf"/><Relationship Id="rId2" Type="http://schemas.openxmlformats.org/officeDocument/2006/relationships/font" Target="fonts/SourceSansProLight-bold.ttf"/><Relationship Id="rId3" Type="http://schemas.openxmlformats.org/officeDocument/2006/relationships/font" Target="fonts/SourceSansProLight-italic.ttf"/><Relationship Id="rId4" Type="http://schemas.openxmlformats.org/officeDocument/2006/relationships/font" Target="fonts/SourceSansProLight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vents@thewroxham.net" TargetMode="External"/><Relationship Id="rId2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